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sz w:val="30"/>
          <w:szCs w:val="3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rPr>
          <w:rStyle w:val="Ninguno"/>
          <w:rFonts w:ascii="Times Roman" w:cs="Times Roman" w:hAnsi="Times Roman" w:eastAsia="Times Roman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i w:val="0"/>
          <w:iCs w:val="0"/>
          <w:outline w:val="0"/>
          <w:color w:val="212121"/>
          <w:sz w:val="42"/>
          <w:szCs w:val="42"/>
          <w:shd w:val="clear" w:color="auto" w:fill="ffffff"/>
          <w14:textOutline>
            <w14:noFill/>
          </w14:textOutline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i w:val="0"/>
          <w:iCs w:val="0"/>
          <w:outline w:val="0"/>
          <w:color w:val="212121"/>
          <w:sz w:val="42"/>
          <w:szCs w:val="42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Aumenta un 10,15% el vidrio recogido por el Consorcio Sector II en 2021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="Helvetica" w:cs="Helvetica" w:hAnsi="Helvetica" w:eastAsia="Helvetica"/>
          <w:b w:val="0"/>
          <w:bCs w:val="0"/>
          <w:i w:val="0"/>
          <w:iCs w:val="0"/>
          <w:outline w:val="0"/>
          <w:color w:val="212121"/>
          <w:sz w:val="26"/>
          <w:szCs w:val="26"/>
          <w:shd w:val="clear" w:color="auto" w:fill="ffffff"/>
          <w14:textOutline>
            <w14:noFill/>
          </w14:textOutline>
          <w14:textFill>
            <w14:solidFill>
              <w14:srgbClr w14:val="222222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Style w:val="Ninguno"/>
          <w:rFonts w:ascii="Arial" w:cs="Arial" w:hAnsi="Arial" w:eastAsia="Arial"/>
          <w:b w:val="0"/>
          <w:bCs w:val="0"/>
          <w:i w:val="0"/>
          <w:iCs w:val="0"/>
          <w:outline w:val="0"/>
          <w:color w:val="212121"/>
          <w:sz w:val="26"/>
          <w:szCs w:val="26"/>
          <w:shd w:val="clear" w:color="auto" w:fill="ffffff"/>
          <w14:textOutline>
            <w14:noFill/>
          </w14:textOutline>
          <w14:textFill>
            <w14:solidFill>
              <w14:srgbClr w14:val="222222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Style w:val="Ninguno"/>
          <w:rFonts w:ascii="Arial" w:cs="Arial" w:hAnsi="Arial" w:eastAsia="Arial"/>
          <w:b w:val="0"/>
          <w:bCs w:val="0"/>
          <w:i w:val="0"/>
          <w:iCs w:val="0"/>
          <w:outline w:val="0"/>
          <w:color w:val="212121"/>
          <w:sz w:val="26"/>
          <w:szCs w:val="26"/>
          <w:shd w:val="clear" w:color="auto" w:fill="ffffff"/>
          <w14:textOutline>
            <w14:noFill/>
          </w14:textOutline>
          <w14:textFill>
            <w14:solidFill>
              <w14:srgbClr w14:val="222222"/>
            </w14:solidFill>
          </w14:textFill>
        </w:rPr>
      </w:pPr>
    </w:p>
    <w:p>
      <w:pPr>
        <w:pStyle w:val="Por omisión"/>
        <w:numPr>
          <w:ilvl w:val="0"/>
          <w:numId w:val="2"/>
        </w:numPr>
        <w:spacing w:line="288" w:lineRule="auto"/>
        <w:jc w:val="both"/>
        <w:rPr>
          <w:rFonts w:ascii="Helvetica" w:hAnsi="Helvetica"/>
          <w:b w:val="0"/>
          <w:bCs w:val="0"/>
          <w:outline w:val="0"/>
          <w:color w:val="212121"/>
          <w:sz w:val="28"/>
          <w:szCs w:val="28"/>
          <w:shd w:val="clear" w:color="auto" w:fill="ffffff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0"/>
          <w:b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Desde enero a mayo de 2021</w:t>
      </w:r>
      <w:r>
        <w:rPr>
          <w:rFonts w:ascii="Helvetica" w:hAnsi="Helvetica"/>
          <w:b w:val="0"/>
          <w:b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, la recogida selectiva de residuos de envases de vidrio a trav</w:t>
      </w:r>
      <w:r>
        <w:rPr>
          <w:rFonts w:ascii="Helvetica" w:hAnsi="Helvetica" w:hint="default"/>
          <w:b w:val="0"/>
          <w:b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é</w:t>
      </w:r>
      <w:r>
        <w:rPr>
          <w:rFonts w:ascii="Helvetica" w:hAnsi="Helvetica"/>
          <w:b w:val="0"/>
          <w:b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s del contenedor verde</w:t>
      </w:r>
      <w:r>
        <w:rPr>
          <w:rFonts w:ascii="Helvetica" w:hAnsi="Helvetica"/>
          <w:b w:val="0"/>
          <w:bCs w:val="0"/>
          <w:outline w:val="0"/>
          <w:color w:val="212121"/>
          <w:sz w:val="28"/>
          <w:szCs w:val="28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ha sido, en los 48 municipios del Consorcio, de </w:t>
      </w:r>
      <w:r>
        <w:rPr>
          <w:rFonts w:ascii="Helvetica" w:hAnsi="Helvetica"/>
          <w:b w:val="0"/>
          <w:bCs w:val="0"/>
          <w:outline w:val="0"/>
          <w:color w:val="212121"/>
          <w:sz w:val="28"/>
          <w:szCs w:val="28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276.536 kg</w:t>
      </w:r>
      <w:r>
        <w:rPr>
          <w:rFonts w:ascii="Helvetica" w:hAnsi="Helvetica"/>
          <w:b w:val="0"/>
          <w:b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s</w:t>
      </w:r>
      <w:r>
        <w:rPr>
          <w:rFonts w:ascii="Helvetica" w:hAnsi="Helvetica"/>
          <w:b w:val="0"/>
          <w:bCs w:val="0"/>
          <w:outline w:val="0"/>
          <w:color w:val="212121"/>
          <w:sz w:val="28"/>
          <w:szCs w:val="28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. </w:t>
      </w:r>
    </w:p>
    <w:p>
      <w:pPr>
        <w:pStyle w:val="Por omisión"/>
        <w:numPr>
          <w:ilvl w:val="0"/>
          <w:numId w:val="3"/>
        </w:numPr>
        <w:spacing w:line="288" w:lineRule="auto"/>
        <w:jc w:val="both"/>
        <w:rPr>
          <w:rFonts w:ascii="Helvetica" w:hAnsi="Helvetica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Helvetica" w:hAnsi="Helvetica"/>
          <w:b w:val="0"/>
          <w:bCs w:val="0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En el mismo periodo del a</w:t>
      </w:r>
      <w:r>
        <w:rPr>
          <w:rStyle w:val="Ninguno"/>
          <w:rFonts w:ascii="Helvetica" w:hAnsi="Helvetica" w:hint="default"/>
          <w:b w:val="0"/>
          <w:bCs w:val="0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Helvetica" w:hAnsi="Helvetica"/>
          <w:b w:val="0"/>
          <w:bCs w:val="0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o 2020 </w:t>
      </w:r>
      <w:r>
        <w:rPr>
          <w:rStyle w:val="Ninguno"/>
          <w:rFonts w:ascii="Helvetica" w:hAnsi="Helvetica"/>
          <w:b w:val="0"/>
          <w:bCs w:val="0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se recogieron</w:t>
      </w:r>
      <w:r>
        <w:rPr>
          <w:rStyle w:val="Ninguno"/>
          <w:rFonts w:ascii="Helvetica" w:hAnsi="Helvetica"/>
          <w:b w:val="0"/>
          <w:bCs w:val="0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 251.056 kg</w:t>
      </w:r>
      <w:r>
        <w:rPr>
          <w:rStyle w:val="Ninguno"/>
          <w:rFonts w:ascii="Helvetica" w:hAnsi="Helvetica"/>
          <w:b w:val="0"/>
          <w:bCs w:val="0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, lo que </w:t>
      </w:r>
      <w:r>
        <w:rPr>
          <w:rStyle w:val="Ninguno"/>
          <w:rFonts w:ascii="Helvetica" w:hAnsi="Helvetica"/>
          <w:b w:val="0"/>
          <w:bCs w:val="0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 supone que en 2021 </w:t>
      </w:r>
      <w:r>
        <w:rPr>
          <w:rStyle w:val="Ninguno"/>
          <w:rFonts w:ascii="Helvetica" w:hAnsi="Helvetica"/>
          <w:b w:val="0"/>
          <w:bCs w:val="0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el</w:t>
      </w:r>
      <w:r>
        <w:rPr>
          <w:rStyle w:val="Ninguno"/>
          <w:rFonts w:ascii="Helvetica" w:hAnsi="Helvetica"/>
          <w:b w:val="0"/>
          <w:bCs w:val="0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it-IT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 increment</w:t>
      </w:r>
      <w:r>
        <w:rPr>
          <w:rStyle w:val="Ninguno"/>
          <w:rFonts w:ascii="Helvetica" w:hAnsi="Helvetica"/>
          <w:b w:val="0"/>
          <w:bCs w:val="0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o de</w:t>
      </w:r>
      <w:r>
        <w:rPr>
          <w:rStyle w:val="Ninguno"/>
          <w:rFonts w:ascii="Helvetica" w:hAnsi="Helvetica"/>
          <w:b w:val="0"/>
          <w:bCs w:val="0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 la recogida de vidrio con respecto al mismo periodo de 2020 e</w:t>
      </w:r>
      <w:r>
        <w:rPr>
          <w:rStyle w:val="Ninguno"/>
          <w:rFonts w:ascii="Helvetica" w:hAnsi="Helvetica"/>
          <w:b w:val="0"/>
          <w:bCs w:val="0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s</w:t>
      </w:r>
      <w:r>
        <w:rPr>
          <w:rStyle w:val="Ninguno"/>
          <w:rFonts w:ascii="Helvetica" w:hAnsi="Helvetica"/>
          <w:b w:val="0"/>
          <w:bCs w:val="0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 un 10,15%.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14:textOutline>
            <w14:noFill/>
          </w14:textOutline>
          <w14:textFill>
            <w14:solidFill>
              <w14:srgbClr w14:val="222222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14:textOutline>
            <w14:noFill/>
          </w14:textOutline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0"/>
          <w:bCs w:val="0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Benahadux, 7 d julio de 2021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. El CRSII consigue, a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os tras a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os, batir sus propios r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cords en recogida de vidrios, gracias a factores como su intensa labor de concienciaci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n entre la poblaci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n en general y sectores espec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ficos como la hosteler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a a trav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s de campa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as de comunicaci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n, as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como al incremento de recursos destinados a los municipios consorciados.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sz w:val="28"/>
          <w:szCs w:val="28"/>
          <w14:textOutline>
            <w14:noFill/>
          </w14:textOutline>
        </w:rPr>
      </w:pP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Los datos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 xml:space="preserve"> muestran que durante 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este periodo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 xml:space="preserve"> los 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vecinos de la zona que gestiona el CRSII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 xml:space="preserve"> han consumido m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sz w:val="28"/>
          <w:szCs w:val="28"/>
          <w:rtl w:val="0"/>
          <w14:textOutline>
            <w14:noFill/>
          </w14:textOutline>
        </w:rPr>
        <w:t>á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s envases de vidrio en el hogar y tambi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sz w:val="28"/>
          <w:szCs w:val="28"/>
          <w:rtl w:val="0"/>
          <w:lang w:val="fr-FR"/>
          <w14:textOutline>
            <w14:noFill/>
          </w14:textOutline>
        </w:rPr>
        <w:t>é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 xml:space="preserve">n lo han reciclado 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m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s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14:textOutline>
            <w14:noFill/>
          </w14:textOutline>
        </w:rPr>
        <w:t>.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 xml:space="preserve">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sz w:val="28"/>
          <w:szCs w:val="28"/>
          <w14:textOutline>
            <w14:noFill/>
          </w14:textOutline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sz w:val="28"/>
          <w:szCs w:val="28"/>
          <w14:textOutline>
            <w14:noFill/>
          </w14:textOutline>
        </w:rPr>
      </w:pP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Se trata de datos valorados muy positivamente desde el Consorcio, y que suponen nadar a contracorriente de la t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nica general, ya que a nivel nacional hay una ca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í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 xml:space="preserve">da media del 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14:textOutline>
            <w14:noFill/>
          </w14:textOutline>
        </w:rPr>
        <w:t>-6%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 xml:space="preserve"> en el reciclaje de vidrio, en buena parte a causa de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 xml:space="preserve"> los cierres y restricciones 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en el sector hostelero.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sz w:val="28"/>
          <w:szCs w:val="28"/>
          <w14:textOutline>
            <w14:noFill/>
          </w14:textOutline>
        </w:rPr>
      </w:pP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 xml:space="preserve">El </w:t>
      </w:r>
      <w:r>
        <w:rPr>
          <w:rStyle w:val="Ninguno"/>
          <w:rFonts w:ascii="Arial" w:hAnsi="Arial"/>
          <w:b w:val="1"/>
          <w:bCs w:val="1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presidente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 xml:space="preserve"> de la entidad, </w:t>
      </w:r>
      <w:r>
        <w:rPr>
          <w:rStyle w:val="Ninguno"/>
          <w:rFonts w:ascii="Arial" w:hAnsi="Arial"/>
          <w:b w:val="1"/>
          <w:bCs w:val="1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Ismael Torre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 xml:space="preserve">s, ha manifestado que 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 xml:space="preserve">“ 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ya es una  realidad la constante la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 xml:space="preserve"> mejora 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en las cifras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 xml:space="preserve"> de reciclaje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 xml:space="preserve"> de vidrio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fr-FR"/>
          <w14:textOutline>
            <w14:noFill/>
          </w14:textOutline>
        </w:rPr>
        <w:t xml:space="preserve"> en 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 xml:space="preserve">estos 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ú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ltimos a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ñ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os. Fruto de nuestro empe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ñ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o y en colaboraci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ó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 xml:space="preserve">n con la entidad sin 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á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nimo de lucro Ecovidrio, los resultados mejoran a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ñ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o tras a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ñ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o, lo que nos indica que estamos en el camino acertado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”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sz w:val="28"/>
          <w:szCs w:val="28"/>
          <w14:textOutline>
            <w14:noFill/>
          </w14:textOutline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sz w:val="28"/>
          <w:szCs w:val="28"/>
          <w14:textOutline>
            <w14:noFill/>
          </w14:textOutline>
        </w:rPr>
      </w:pPr>
      <w:r>
        <w:rPr>
          <w:rFonts w:ascii="Georgia" w:hAnsi="Georgia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El CRSII va a poner en marcha durante este verano dos campa</w:t>
      </w:r>
      <w:r>
        <w:rPr>
          <w:rFonts w:ascii="Georgia" w:hAnsi="Georgia" w:hint="default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ñ</w:t>
      </w:r>
      <w:r>
        <w:rPr>
          <w:rFonts w:ascii="Georgia" w:hAnsi="Georgia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 xml:space="preserve">as relacionadas con la recogida selectiva de vidrio: </w:t>
      </w:r>
      <w:r>
        <w:rPr>
          <w:rFonts w:ascii="Georgia" w:hAnsi="Georgia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La primera de ellas va dirigida a municipios costeros (</w:t>
      </w:r>
      <w:r>
        <w:rPr>
          <w:rFonts w:ascii="Georgia" w:hAnsi="Georgia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en el caso del CRSII ser</w:t>
      </w:r>
      <w:r>
        <w:rPr>
          <w:rFonts w:ascii="Georgia" w:hAnsi="Georgia" w:hint="default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 xml:space="preserve">á </w:t>
      </w:r>
      <w:r>
        <w:rPr>
          <w:rFonts w:ascii="Georgia" w:hAnsi="Georgia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Carboneras) y se llama "</w:t>
      </w:r>
      <w:r>
        <w:rPr>
          <w:rStyle w:val="Ninguno"/>
          <w:rFonts w:ascii="Georgia" w:hAnsi="Georgia"/>
          <w:b w:val="1"/>
          <w:bCs w:val="1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Movimiento banderas verdes</w:t>
      </w:r>
      <w:r>
        <w:rPr>
          <w:rFonts w:ascii="Georgia" w:hAnsi="Georgia" w:hint="default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”</w:t>
      </w:r>
      <w:r>
        <w:rPr>
          <w:rFonts w:ascii="Georgia" w:hAnsi="Georgia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, que ir</w:t>
      </w:r>
      <w:r>
        <w:rPr>
          <w:rFonts w:ascii="Georgia" w:hAnsi="Georgia" w:hint="default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 xml:space="preserve">á </w:t>
      </w:r>
      <w:r>
        <w:rPr>
          <w:rFonts w:ascii="Georgia" w:hAnsi="Georgia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di</w:t>
      </w:r>
      <w:r>
        <w:rPr>
          <w:rFonts w:ascii="Georgia" w:hAnsi="Georgia"/>
          <w:b w:val="0"/>
          <w:bCs w:val="0"/>
          <w:i w:val="0"/>
          <w:iCs w:val="0"/>
          <w:sz w:val="28"/>
          <w:szCs w:val="28"/>
          <w:rtl w:val="0"/>
          <w:lang w:val="es-ES_tradnl"/>
          <w14:textOutline>
            <w14:noFill/>
          </w14:textOutline>
        </w:rPr>
        <w:t>rigida especialmente al sector hostelero.</w:t>
      </w: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14:textOutline>
            <w14:noFill/>
          </w14:textOutline>
        </w:rPr>
        <w:t xml:space="preserve">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14:textOutline>
            <w14:noFill/>
          </w14:textOutline>
          <w14:textFill>
            <w14:solidFill>
              <w14:srgbClr w14:val="222222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14:textOutline>
            <w14:noFill/>
          </w14:textOutline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La segunda se llama </w:t>
      </w:r>
      <w:r>
        <w:rPr>
          <w:rStyle w:val="Ninguno"/>
          <w:rFonts w:ascii="Helvetica" w:hAnsi="Helvetica"/>
          <w:b w:val="1"/>
          <w:bCs w:val="1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Reverde</w:t>
      </w:r>
      <w:r>
        <w:rPr>
          <w:rFonts w:ascii="Helvetica" w:hAnsi="Helvetica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e implicar</w:t>
      </w:r>
      <w:r>
        <w:rPr>
          <w:rFonts w:ascii="Helvetica" w:hAnsi="Helvetica" w:hint="default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Helvetica" w:hAnsi="Helvetica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al </w:t>
      </w:r>
      <w:r>
        <w:rPr>
          <w:rFonts w:ascii="Helvetica" w:hAnsi="Helvetica" w:hint="default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it-IT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mbito </w:t>
      </w:r>
      <w:r>
        <w:rPr>
          <w:rFonts w:ascii="Helvetica" w:hAnsi="Helvetica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territorial</w:t>
      </w:r>
      <w:r>
        <w:rPr>
          <w:rFonts w:ascii="Helvetica" w:hAnsi="Helvetica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de todo el Consorcio. </w:t>
      </w:r>
      <w:r>
        <w:rPr>
          <w:rFonts w:ascii="Helvetica" w:hAnsi="Helvetica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A partir de la archiconocida canci</w:t>
      </w:r>
      <w:r>
        <w:rPr>
          <w:rFonts w:ascii="Helvetica" w:hAnsi="Helvetica" w:hint="default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ó</w:t>
      </w:r>
      <w:r>
        <w:rPr>
          <w:rFonts w:ascii="Helvetica" w:hAnsi="Helvetica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n </w:t>
      </w:r>
      <w:r>
        <w:rPr>
          <w:rFonts w:ascii="Helvetica" w:hAnsi="Helvetica" w:hint="default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“</w:t>
      </w:r>
      <w:r>
        <w:rPr>
          <w:rFonts w:ascii="Helvetica" w:hAnsi="Helvetica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Soy rebelde</w:t>
      </w:r>
      <w:r>
        <w:rPr>
          <w:rFonts w:ascii="Helvetica" w:hAnsi="Helvetica" w:hint="default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”</w:t>
      </w:r>
      <w:r>
        <w:rPr>
          <w:rFonts w:ascii="Helvetica" w:hAnsi="Helvetica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Helvetica" w:hAnsi="Helvetica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se est</w:t>
      </w:r>
      <w:r>
        <w:rPr>
          <w:rFonts w:ascii="Helvetica" w:hAnsi="Helvetica" w:hint="default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Helvetica" w:hAnsi="Helvetica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preparando</w:t>
      </w:r>
      <w:r>
        <w:rPr>
          <w:rFonts w:ascii="Helvetica" w:hAnsi="Helvetica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 un movimiento que se llama</w:t>
      </w:r>
      <w:r>
        <w:rPr>
          <w:rFonts w:ascii="Helvetica" w:hAnsi="Helvetica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r</w:t>
      </w:r>
      <w:r>
        <w:rPr>
          <w:rFonts w:ascii="Helvetica" w:hAnsi="Helvetica" w:hint="default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Ninguno"/>
          <w:rFonts w:ascii="Helvetica" w:hAnsi="Helvetica"/>
          <w:b w:val="0"/>
          <w:bCs w:val="0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Reverd</w:t>
      </w:r>
      <w:r>
        <w:rPr>
          <w:rStyle w:val="Ninguno"/>
          <w:rFonts w:ascii="Helvetica" w:hAnsi="Helvetica" w:hint="default"/>
          <w:b w:val="0"/>
          <w:bCs w:val="0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Helvetica" w:hAnsi="Helvetica"/>
          <w:b w:val="0"/>
          <w:bCs w:val="0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>a</w:t>
      </w:r>
      <w:r>
        <w:rPr>
          <w:rFonts w:ascii="Helvetica" w:hAnsi="Helvetica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 al que el Consorcio</w:t>
      </w:r>
      <w:r>
        <w:rPr>
          <w:rFonts w:ascii="Helvetica" w:hAnsi="Helvetica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 Sector II</w:t>
      </w:r>
      <w:r>
        <w:rPr>
          <w:rFonts w:ascii="Helvetica" w:hAnsi="Helvetica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 se va a </w:t>
      </w:r>
      <w:r>
        <w:rPr>
          <w:rFonts w:ascii="Helvetica" w:hAnsi="Helvetica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:lang w:val="es-ES_tradnl"/>
          <w14:textOutline>
            <w14:noFill/>
          </w14:textOutline>
          <w14:textFill>
            <w14:solidFill>
              <w14:srgbClr w14:val="222222"/>
            </w14:solidFill>
          </w14:textFill>
        </w:rPr>
        <w:t>unir.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12121"/>
          <w:sz w:val="28"/>
          <w:szCs w:val="28"/>
          <w:shd w:val="clear" w:color="auto" w:fill="ffffff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Style w:val="Ninguno"/>
          <w:rFonts w:ascii="Arial" w:cs="Arial" w:hAnsi="Arial" w:eastAsia="Arial"/>
          <w:b w:val="0"/>
          <w:bCs w:val="0"/>
          <w:i w:val="0"/>
          <w:iCs w:val="0"/>
          <w:outline w:val="0"/>
          <w:color w:val="212121"/>
          <w:sz w:val="26"/>
          <w:szCs w:val="26"/>
          <w:shd w:val="clear" w:color="auto" w:fill="ffffff"/>
          <w14:textOutline>
            <w14:noFill/>
          </w14:textOutline>
          <w14:textFill>
            <w14:solidFill>
              <w14:srgbClr w14:val="222222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</w:pPr>
      <w:r>
        <w:rPr>
          <w:rStyle w:val="Ninguno"/>
          <w:rFonts w:ascii="Arial" w:cs="Arial" w:hAnsi="Arial" w:eastAsia="Arial"/>
          <w:b w:val="0"/>
          <w:bCs w:val="0"/>
          <w:i w:val="0"/>
          <w:iCs w:val="0"/>
          <w:outline w:val="0"/>
          <w:color w:val="212121"/>
          <w:sz w:val="26"/>
          <w:szCs w:val="26"/>
          <w:shd w:val="clear" w:color="auto" w:fill="ffffff"/>
          <w14:textOutline>
            <w14:noFill/>
          </w14:textOutline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8" w:right="1701" w:bottom="1418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single" w:color="808080" w:sz="4" w:space="0" w:shadow="0" w:frame="0"/>
        <w:left w:val="nil"/>
        <w:bottom w:val="nil"/>
        <w:right w:val="nil"/>
      </w:pBdr>
      <w:tabs>
        <w:tab w:val="left" w:pos="284"/>
        <w:tab w:val="right" w:pos="8080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cs="Arial" w:hAnsi="Arial" w:eastAsia="Arial"/>
        <w:sz w:val="16"/>
        <w:szCs w:val="16"/>
      </w:rPr>
      <w:tab/>
    </w:r>
  </w:p>
  <w:p>
    <w:pPr>
      <w:pStyle w:val="Normal.0"/>
      <w:tabs>
        <w:tab w:val="left" w:pos="284"/>
        <w:tab w:val="right" w:pos="8222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C/ Tulip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á</w:t>
    </w:r>
    <w:r>
      <w:rPr>
        <w:rStyle w:val="Ninguno"/>
        <w:rFonts w:ascii="Arial" w:hAnsi="Arial"/>
        <w:sz w:val="16"/>
        <w:szCs w:val="16"/>
        <w:rtl w:val="0"/>
        <w:lang w:val="es-ES_tradnl"/>
      </w:rPr>
      <w:t>n, 1-1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 xml:space="preserve">º </w:t>
    </w:r>
    <w:r>
      <w:rPr>
        <w:rStyle w:val="Ninguno"/>
        <w:rFonts w:ascii="Arial" w:hAnsi="Arial"/>
        <w:sz w:val="16"/>
        <w:szCs w:val="16"/>
        <w:rtl w:val="0"/>
        <w:lang w:val="es-ES_tradnl"/>
      </w:rPr>
      <w:t>Oficina 8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ª</w:t>
      <w:tab/>
    </w:r>
    <w:r>
      <w:rPr>
        <w:rStyle w:val="Ninguno"/>
        <w:rFonts w:ascii="Arial" w:hAnsi="Arial"/>
        <w:sz w:val="16"/>
        <w:szCs w:val="16"/>
        <w:rtl w:val="0"/>
        <w:lang w:val="es-ES_tradnl"/>
      </w:rPr>
      <w:t>04410-Benahadux (Almer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í</w:t>
    </w:r>
    <w:r>
      <w:rPr>
        <w:rStyle w:val="Ninguno"/>
        <w:rFonts w:ascii="Arial" w:hAnsi="Arial"/>
        <w:sz w:val="16"/>
        <w:szCs w:val="16"/>
        <w:rtl w:val="0"/>
        <w:lang w:val="es-ES_tradnl"/>
      </w:rPr>
      <w:t>a)</w:t>
    </w:r>
  </w:p>
  <w:p>
    <w:pPr>
      <w:pStyle w:val="Normal.0"/>
      <w:tabs>
        <w:tab w:val="left" w:pos="284"/>
        <w:tab w:val="right" w:pos="8222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Tel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é</w:t>
    </w:r>
    <w:r>
      <w:rPr>
        <w:rStyle w:val="Ninguno"/>
        <w:rFonts w:ascii="Arial" w:hAnsi="Arial"/>
        <w:sz w:val="16"/>
        <w:szCs w:val="16"/>
        <w:rtl w:val="0"/>
        <w:lang w:val="es-ES_tradnl"/>
      </w:rPr>
      <w:t>fono: 950312202</w:t>
      <w:tab/>
      <w:t>Fax: 950951035</w:t>
    </w:r>
  </w:p>
  <w:p>
    <w:pPr>
      <w:pStyle w:val="Normal.0"/>
      <w:tabs>
        <w:tab w:val="left" w:pos="284"/>
        <w:tab w:val="right" w:pos="8222"/>
      </w:tabs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"http://www.consorcio2.almeria.es"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s-ES_tradnl"/>
      </w:rPr>
      <w:t>www.consorcio2.almeria.es</w:t>
    </w:r>
    <w:r>
      <w:rPr/>
      <w:fldChar w:fldCharType="end" w:fldLock="0"/>
    </w:r>
    <w:r>
      <w:rPr>
        <w:rStyle w:val="Ninguno"/>
        <w:rFonts w:ascii="Arial" w:cs="Arial" w:hAnsi="Arial" w:eastAsia="Arial"/>
        <w:sz w:val="16"/>
        <w:szCs w:val="16"/>
        <w:rtl w:val="0"/>
      </w:rPr>
      <w:tab/>
      <w:t>consorciosector2@dipalme.org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-350519</wp:posOffset>
              </wp:positionH>
              <wp:positionV relativeFrom="page">
                <wp:posOffset>5184775</wp:posOffset>
              </wp:positionV>
              <wp:extent cx="1168400" cy="32385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8400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outline w:val="0"/>
                              <w:color w:val="c0c0c0"/>
                              <w:u w:color="c0c0c0"/>
                              <w:rtl w:val="0"/>
                              <w:lang w:val="es-ES_tradnl"/>
                              <w14:textFill>
                                <w14:solidFill>
                                  <w14:srgbClr w14:val="C0C0C0"/>
                                </w14:solidFill>
                              </w14:textFill>
                            </w:rPr>
                            <w:t>NIF V04408548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-27.6pt;margin-top:408.2pt;width:92.0pt;height:2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outline w:val="0"/>
                        <w:color w:val="c0c0c0"/>
                        <w:u w:color="c0c0c0"/>
                        <w:rtl w:val="0"/>
                        <w:lang w:val="es-ES_tradnl"/>
                        <w14:textFill>
                          <w14:solidFill>
                            <w14:srgbClr w14:val="C0C0C0"/>
                          </w14:solidFill>
                        </w14:textFill>
                      </w:rPr>
                      <w:t>NIF V04408548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1932938</wp:posOffset>
          </wp:positionH>
          <wp:positionV relativeFrom="page">
            <wp:posOffset>81913</wp:posOffset>
          </wp:positionV>
          <wp:extent cx="3695066" cy="508000"/>
          <wp:effectExtent l="0" t="0" r="0" b="0"/>
          <wp:wrapNone/>
          <wp:docPr id="1073741826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066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4601209</wp:posOffset>
          </wp:positionH>
          <wp:positionV relativeFrom="page">
            <wp:posOffset>10163175</wp:posOffset>
          </wp:positionV>
          <wp:extent cx="230505" cy="230505"/>
          <wp:effectExtent l="42185" t="42185" r="42185" b="42185"/>
          <wp:wrapNone/>
          <wp:docPr id="1073741827" name="officeArt object" descr="Ver detal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Ver detalles" descr="Ver detalles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 rot="1800000">
                    <a:off x="0" y="0"/>
                    <a:ext cx="230505" cy="230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Normal.0"/>
    </w:pPr>
  </w:p>
  <w:p>
    <w:pPr>
      <w:pStyle w:val="Normal.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1" w:hanging="22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1" w:hanging="22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21" w:hanging="22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021" w:hanging="22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621" w:hanging="22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21" w:hanging="22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21" w:hanging="22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421" w:hanging="22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21" w:hanging="22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Viñetas">
    <w:name w:val="Viñeta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